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561" w:rsidRDefault="00BF0561" w:rsidP="00530B9F">
      <w:pPr>
        <w:jc w:val="right"/>
        <w:rPr>
          <w:sz w:val="20"/>
        </w:rPr>
      </w:pPr>
    </w:p>
    <w:p w:rsidR="00937AF3" w:rsidRDefault="00937AF3" w:rsidP="00530B9F">
      <w:pPr>
        <w:jc w:val="right"/>
        <w:rPr>
          <w:sz w:val="20"/>
        </w:rPr>
      </w:pPr>
    </w:p>
    <w:p w:rsidR="00937AF3" w:rsidRDefault="00937AF3" w:rsidP="00937AF3">
      <w:pPr>
        <w:jc w:val="center"/>
        <w:rPr>
          <w:b/>
          <w:sz w:val="28"/>
          <w:szCs w:val="28"/>
        </w:rPr>
      </w:pPr>
      <w:r w:rsidRPr="00243148">
        <w:rPr>
          <w:b/>
          <w:sz w:val="28"/>
          <w:szCs w:val="28"/>
        </w:rPr>
        <w:t xml:space="preserve">МУНИЦИПАЛЬНОЕ КАЗЕННОЕ УЧРЕЖДЕНИЕ </w:t>
      </w:r>
    </w:p>
    <w:p w:rsidR="00937AF3" w:rsidRPr="00243148" w:rsidRDefault="00937AF3" w:rsidP="00937AF3">
      <w:pPr>
        <w:jc w:val="center"/>
        <w:rPr>
          <w:b/>
          <w:sz w:val="28"/>
          <w:szCs w:val="28"/>
        </w:rPr>
      </w:pPr>
      <w:r w:rsidRPr="00243148">
        <w:rPr>
          <w:b/>
          <w:sz w:val="28"/>
          <w:szCs w:val="28"/>
        </w:rPr>
        <w:t xml:space="preserve">ДОПОЛНИТЕЛЬНОГО ОБРАЗОВАНИЯ </w:t>
      </w:r>
    </w:p>
    <w:p w:rsidR="00937AF3" w:rsidRPr="00243148" w:rsidRDefault="00937AF3" w:rsidP="00937AF3">
      <w:pPr>
        <w:jc w:val="center"/>
        <w:rPr>
          <w:b/>
          <w:sz w:val="28"/>
          <w:szCs w:val="28"/>
        </w:rPr>
      </w:pPr>
      <w:r w:rsidRPr="00243148">
        <w:rPr>
          <w:b/>
          <w:sz w:val="28"/>
          <w:szCs w:val="28"/>
        </w:rPr>
        <w:t>«СПОРТИВНАЯ ШКОЛА ТОПЧИХИНСКОГО РАЙОНА»</w:t>
      </w:r>
    </w:p>
    <w:p w:rsidR="00937AF3" w:rsidRPr="00243148" w:rsidRDefault="00937AF3" w:rsidP="00937AF3">
      <w:pPr>
        <w:jc w:val="center"/>
        <w:rPr>
          <w:szCs w:val="24"/>
        </w:rPr>
      </w:pPr>
      <w:r w:rsidRPr="00243148">
        <w:t xml:space="preserve">(МКУ ДО «СШ </w:t>
      </w:r>
      <w:proofErr w:type="spellStart"/>
      <w:r w:rsidRPr="00243148">
        <w:t>Топчихинского</w:t>
      </w:r>
      <w:proofErr w:type="spellEnd"/>
      <w:r w:rsidRPr="00243148">
        <w:t xml:space="preserve"> района»)</w:t>
      </w:r>
    </w:p>
    <w:p w:rsidR="00937AF3" w:rsidRPr="00243148" w:rsidRDefault="00937AF3" w:rsidP="00937AF3">
      <w:pPr>
        <w:overflowPunct w:val="0"/>
        <w:autoSpaceDE w:val="0"/>
        <w:autoSpaceDN w:val="0"/>
        <w:adjustRightInd w:val="0"/>
        <w:jc w:val="center"/>
      </w:pPr>
    </w:p>
    <w:p w:rsidR="00937AF3" w:rsidRPr="00243148" w:rsidRDefault="00937AF3" w:rsidP="00937AF3"/>
    <w:tbl>
      <w:tblPr>
        <w:tblW w:w="9747" w:type="dxa"/>
        <w:tblLook w:val="01E0"/>
      </w:tblPr>
      <w:tblGrid>
        <w:gridCol w:w="5070"/>
        <w:gridCol w:w="4677"/>
      </w:tblGrid>
      <w:tr w:rsidR="00937AF3" w:rsidRPr="00243148" w:rsidTr="006861FA">
        <w:tc>
          <w:tcPr>
            <w:tcW w:w="5070" w:type="dxa"/>
            <w:hideMark/>
          </w:tcPr>
          <w:p w:rsidR="00937AF3" w:rsidRPr="00CA7604" w:rsidRDefault="00937AF3" w:rsidP="006861FA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CA7604">
              <w:rPr>
                <w:rFonts w:ascii="Times New Roman" w:hAnsi="Times New Roman"/>
                <w:b/>
                <w:sz w:val="28"/>
                <w:szCs w:val="28"/>
              </w:rPr>
              <w:t xml:space="preserve">ПРИНЯТО </w:t>
            </w:r>
          </w:p>
          <w:p w:rsidR="00937AF3" w:rsidRDefault="00937AF3" w:rsidP="006861F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педагогическим советом</w:t>
            </w:r>
          </w:p>
          <w:p w:rsidR="00937AF3" w:rsidRPr="00243148" w:rsidRDefault="00937AF3" w:rsidP="006861FA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протокол от 31.08.2023 г. № 1               </w:t>
            </w:r>
          </w:p>
        </w:tc>
        <w:tc>
          <w:tcPr>
            <w:tcW w:w="4677" w:type="dxa"/>
            <w:hideMark/>
          </w:tcPr>
          <w:p w:rsidR="00937AF3" w:rsidRPr="00243148" w:rsidRDefault="00937AF3" w:rsidP="006861FA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243148">
              <w:rPr>
                <w:b/>
                <w:bCs/>
                <w:sz w:val="28"/>
                <w:szCs w:val="28"/>
              </w:rPr>
              <w:t>УТВЕРЖДЕНО</w:t>
            </w:r>
          </w:p>
          <w:p w:rsidR="00937AF3" w:rsidRPr="00243148" w:rsidRDefault="00937AF3" w:rsidP="006861FA">
            <w:pPr>
              <w:rPr>
                <w:sz w:val="28"/>
                <w:szCs w:val="28"/>
              </w:rPr>
            </w:pPr>
            <w:r w:rsidRPr="00243148">
              <w:rPr>
                <w:sz w:val="28"/>
                <w:szCs w:val="28"/>
                <w:lang w:eastAsia="zh-CN"/>
              </w:rPr>
              <w:t xml:space="preserve">приказом МКУ ДО «СШ </w:t>
            </w:r>
            <w:proofErr w:type="spellStart"/>
            <w:r w:rsidRPr="00243148">
              <w:rPr>
                <w:sz w:val="28"/>
                <w:szCs w:val="28"/>
                <w:lang w:eastAsia="zh-CN"/>
              </w:rPr>
              <w:t>Топчихинского</w:t>
            </w:r>
            <w:proofErr w:type="spellEnd"/>
            <w:r w:rsidRPr="00243148">
              <w:rPr>
                <w:sz w:val="28"/>
                <w:szCs w:val="28"/>
                <w:lang w:eastAsia="zh-CN"/>
              </w:rPr>
              <w:t xml:space="preserve"> района»</w:t>
            </w:r>
          </w:p>
          <w:p w:rsidR="00937AF3" w:rsidRPr="00243148" w:rsidRDefault="00937AF3" w:rsidP="006861FA">
            <w:pPr>
              <w:rPr>
                <w:szCs w:val="24"/>
              </w:rPr>
            </w:pPr>
            <w:r w:rsidRPr="00243148">
              <w:rPr>
                <w:kern w:val="2"/>
                <w:sz w:val="28"/>
                <w:szCs w:val="28"/>
              </w:rPr>
              <w:t>от  01.09.2023 г. № 72/3</w:t>
            </w:r>
          </w:p>
        </w:tc>
      </w:tr>
    </w:tbl>
    <w:p w:rsidR="00937AF3" w:rsidRDefault="00937AF3" w:rsidP="00530B9F">
      <w:pPr>
        <w:jc w:val="right"/>
        <w:rPr>
          <w:sz w:val="20"/>
        </w:rPr>
      </w:pPr>
    </w:p>
    <w:p w:rsidR="00937AF3" w:rsidRDefault="00937AF3" w:rsidP="00530B9F">
      <w:pPr>
        <w:jc w:val="right"/>
        <w:rPr>
          <w:sz w:val="20"/>
        </w:rPr>
      </w:pPr>
    </w:p>
    <w:p w:rsidR="00937AF3" w:rsidRDefault="00E33258" w:rsidP="00E33258">
      <w:pPr>
        <w:jc w:val="center"/>
        <w:rPr>
          <w:b/>
        </w:rPr>
      </w:pPr>
      <w:r w:rsidRPr="00E33258">
        <w:rPr>
          <w:b/>
        </w:rPr>
        <w:t xml:space="preserve">ИНСТРУКЦИЯ </w:t>
      </w:r>
    </w:p>
    <w:p w:rsidR="00E33258" w:rsidRDefault="00E33258" w:rsidP="00E33258">
      <w:pPr>
        <w:jc w:val="center"/>
        <w:rPr>
          <w:b/>
        </w:rPr>
      </w:pPr>
      <w:r w:rsidRPr="00E33258">
        <w:rPr>
          <w:b/>
        </w:rPr>
        <w:t>ПО АНТИДОПИНГОВОМУ ОБЕСПЕЧЕНИЮ</w:t>
      </w:r>
      <w:r w:rsidR="00937AF3">
        <w:rPr>
          <w:b/>
        </w:rPr>
        <w:t xml:space="preserve"> </w:t>
      </w:r>
      <w:r w:rsidRPr="00E33258">
        <w:rPr>
          <w:b/>
        </w:rPr>
        <w:t xml:space="preserve"> </w:t>
      </w:r>
      <w:r w:rsidR="006D043A">
        <w:rPr>
          <w:b/>
        </w:rPr>
        <w:t>СПОРТСМЕН</w:t>
      </w:r>
      <w:r w:rsidR="00937AF3">
        <w:rPr>
          <w:b/>
        </w:rPr>
        <w:t>А</w:t>
      </w:r>
    </w:p>
    <w:p w:rsidR="007D7422" w:rsidRDefault="007D7422" w:rsidP="00E33258">
      <w:pPr>
        <w:jc w:val="center"/>
        <w:rPr>
          <w:b/>
        </w:rPr>
      </w:pPr>
      <w:r w:rsidRPr="006A2F99">
        <w:rPr>
          <w:b/>
        </w:rPr>
        <w:t>1.Общие положения</w:t>
      </w:r>
    </w:p>
    <w:p w:rsidR="005B2579" w:rsidRDefault="005B2579" w:rsidP="003E34E4">
      <w:pPr>
        <w:ind w:firstLine="709"/>
      </w:pPr>
      <w:r>
        <w:t xml:space="preserve">1.1. </w:t>
      </w:r>
      <w:proofErr w:type="gramStart"/>
      <w:r>
        <w:t xml:space="preserve">Настоящая инструкция разработана с учетом пункта 1 части 2 статьи 26.1 Федерального закона от 4 декабря 2007 г. № 329-ФЗ «О физической культуре и спорте в Российской Федерации», Приказа Министерства спорта Российской Федерации от 30 октября 2015 г. № 999 «Об утверждении требований к обеспечению подготовки спортивного резерва для спортивных сборных команд Российской Федерации» и Общероссийскими антидопинговыми правилами, утвержденного приказом № </w:t>
      </w:r>
      <w:r w:rsidR="006E3AAD">
        <w:t>464</w:t>
      </w:r>
      <w:r>
        <w:t xml:space="preserve"> </w:t>
      </w:r>
      <w:proofErr w:type="spellStart"/>
      <w:r>
        <w:t>Минспорта</w:t>
      </w:r>
      <w:proofErr w:type="spellEnd"/>
      <w:proofErr w:type="gramEnd"/>
      <w:r>
        <w:t xml:space="preserve"> России от </w:t>
      </w:r>
      <w:r w:rsidR="006E3AAD">
        <w:t>24 июня 2021 года</w:t>
      </w:r>
      <w:r>
        <w:t xml:space="preserve">. </w:t>
      </w:r>
    </w:p>
    <w:p w:rsidR="005B2579" w:rsidRDefault="005B2579" w:rsidP="003E34E4">
      <w:pPr>
        <w:ind w:firstLine="709"/>
      </w:pPr>
      <w:r>
        <w:t xml:space="preserve">1.2. Спортсмены или иные лица несут ответственность за незнание перечня того, что несет в себе понятие «антидопинговые правила», а также за незнание субстанций и методов, внесённых в запрещённый список. </w:t>
      </w:r>
    </w:p>
    <w:p w:rsidR="005B2579" w:rsidRDefault="005B2579" w:rsidP="003E34E4">
      <w:pPr>
        <w:ind w:firstLine="709"/>
      </w:pPr>
      <w:r>
        <w:t xml:space="preserve">1.3. Нарушением антидопинговых правил считается нарушение пунктов </w:t>
      </w:r>
    </w:p>
    <w:p w:rsidR="004A4B0F" w:rsidRDefault="005B2579" w:rsidP="003E34E4">
      <w:pPr>
        <w:ind w:firstLine="709"/>
      </w:pPr>
      <w:r>
        <w:t xml:space="preserve">1.3.1. - 1.3.9 настоящей инструкции. </w:t>
      </w:r>
    </w:p>
    <w:p w:rsidR="004A4B0F" w:rsidRDefault="005B2579" w:rsidP="003E34E4">
      <w:pPr>
        <w:ind w:firstLine="709"/>
      </w:pPr>
      <w:r>
        <w:t xml:space="preserve">1.3.1. Наличие запрещенной субстанции, или ее метаболитов, или маркеров в пробе, взятой у спортсмена. </w:t>
      </w:r>
    </w:p>
    <w:p w:rsidR="004A4B0F" w:rsidRDefault="005B2579" w:rsidP="003E34E4">
      <w:pPr>
        <w:ind w:firstLine="709"/>
      </w:pPr>
      <w:r>
        <w:t xml:space="preserve">1.3.2. Использование или попытка использования спортсменом запрещенной субстанции или запрещенного метода. </w:t>
      </w:r>
    </w:p>
    <w:p w:rsidR="004A4B0F" w:rsidRDefault="005B2579" w:rsidP="003E34E4">
      <w:pPr>
        <w:ind w:firstLine="709"/>
      </w:pPr>
      <w:r>
        <w:t xml:space="preserve">1.3.3. Уклонение, отказ или неявка спортсмена на процедуру сдачи проб. </w:t>
      </w:r>
    </w:p>
    <w:p w:rsidR="004A4B0F" w:rsidRDefault="005B2579" w:rsidP="003E34E4">
      <w:pPr>
        <w:ind w:firstLine="709"/>
      </w:pPr>
      <w:r>
        <w:t>1.3.4. Нарушение порядка предоставления информации о местонахождении.</w:t>
      </w:r>
    </w:p>
    <w:p w:rsidR="005B2579" w:rsidRDefault="005B2579" w:rsidP="003E34E4">
      <w:pPr>
        <w:ind w:firstLine="709"/>
      </w:pPr>
      <w:r>
        <w:t xml:space="preserve"> 1.3.5. Фальсификация или попытка фальсификации в любой составляющей </w:t>
      </w:r>
      <w:proofErr w:type="spellStart"/>
      <w:proofErr w:type="gramStart"/>
      <w:r>
        <w:t>допинг-контроля</w:t>
      </w:r>
      <w:proofErr w:type="spellEnd"/>
      <w:proofErr w:type="gramEnd"/>
      <w:r>
        <w:t>.</w:t>
      </w:r>
    </w:p>
    <w:p w:rsidR="004A4B0F" w:rsidRDefault="005B2579" w:rsidP="003E34E4">
      <w:pPr>
        <w:ind w:firstLine="709"/>
      </w:pPr>
      <w:r>
        <w:t xml:space="preserve">1.3.6. Обладание запрещенной субстанцией или запрещенным методом. </w:t>
      </w:r>
      <w:proofErr w:type="gramStart"/>
      <w:r>
        <w:t xml:space="preserve">Обладание спортсменом в соревновательном периоде любой запрещенной субстанцией или запрещенным методом, или обладание спортсменом во </w:t>
      </w:r>
      <w:proofErr w:type="spellStart"/>
      <w:r>
        <w:t>внесоревновательном</w:t>
      </w:r>
      <w:proofErr w:type="spellEnd"/>
      <w:r>
        <w:t xml:space="preserve"> периоде любой запрещённой субстанцией или запрещенным методом, запрещёнными во </w:t>
      </w:r>
      <w:proofErr w:type="spellStart"/>
      <w:r>
        <w:t>внесоревновательном</w:t>
      </w:r>
      <w:proofErr w:type="spellEnd"/>
      <w:r>
        <w:t xml:space="preserve"> периоде, если только спортсмен не доказал, что обладание соответствует разрешению на терапевтическое использование, выданному в соответствии с международным стандартом по терапевтическому использованию, или имеет другие приемлемые объяснения. </w:t>
      </w:r>
      <w:proofErr w:type="gramEnd"/>
    </w:p>
    <w:p w:rsidR="004A4B0F" w:rsidRDefault="005B2579" w:rsidP="003E34E4">
      <w:pPr>
        <w:ind w:firstLine="709"/>
      </w:pPr>
      <w:r>
        <w:t xml:space="preserve">1.3.7. Распространение или попытка распространения любой запрещенной субстанции или запрещенного метода. </w:t>
      </w:r>
    </w:p>
    <w:p w:rsidR="004A4B0F" w:rsidRDefault="005B2579" w:rsidP="003E34E4">
      <w:pPr>
        <w:ind w:firstLine="709"/>
      </w:pPr>
      <w:r>
        <w:t>1.3.8. Соучастие. Помощь, поощрение, способствование, подстрекательство, вступление в сговор, сокрытие или любой другой вид намеренного соучастия, включая нарушение или Попытку нарушения антидопинговых правил.</w:t>
      </w:r>
    </w:p>
    <w:p w:rsidR="004A4B0F" w:rsidRDefault="005B2579" w:rsidP="003E34E4">
      <w:pPr>
        <w:ind w:firstLine="709"/>
      </w:pPr>
      <w:r>
        <w:t xml:space="preserve"> 1.3.9. Запрещённое сотрудничество. Сотрудничество Спортсмена или иного Лица, находящегося под юрисдикцией Антидопинговой организации в профессиональном или </w:t>
      </w:r>
      <w:r>
        <w:lastRenderedPageBreak/>
        <w:t>связанном со спортом качестве.</w:t>
      </w:r>
    </w:p>
    <w:p w:rsidR="004A4B0F" w:rsidRPr="009E3C52" w:rsidRDefault="005B2579" w:rsidP="004A4B0F">
      <w:pPr>
        <w:ind w:firstLine="709"/>
        <w:jc w:val="center"/>
        <w:rPr>
          <w:b/>
        </w:rPr>
      </w:pPr>
      <w:r w:rsidRPr="009E3C52">
        <w:rPr>
          <w:b/>
        </w:rPr>
        <w:t>2. Права и обязанности</w:t>
      </w:r>
    </w:p>
    <w:p w:rsidR="004A4B0F" w:rsidRPr="009E3C52" w:rsidRDefault="005B2579" w:rsidP="003E34E4">
      <w:pPr>
        <w:ind w:firstLine="709"/>
      </w:pPr>
      <w:r w:rsidRPr="009E3C52">
        <w:t xml:space="preserve">Спортсмен имеет право </w:t>
      </w:r>
      <w:proofErr w:type="gramStart"/>
      <w:r w:rsidRPr="009E3C52">
        <w:t>на</w:t>
      </w:r>
      <w:proofErr w:type="gramEnd"/>
      <w:r w:rsidRPr="009E3C52">
        <w:t>:</w:t>
      </w:r>
    </w:p>
    <w:p w:rsidR="004A4B0F" w:rsidRDefault="005B2579" w:rsidP="003E34E4">
      <w:pPr>
        <w:ind w:firstLine="709"/>
      </w:pPr>
      <w:r>
        <w:t xml:space="preserve"> 2.1. Участие в соревнованиях свободных от допинга. </w:t>
      </w:r>
    </w:p>
    <w:p w:rsidR="004A4B0F" w:rsidRDefault="005B2579" w:rsidP="003E34E4">
      <w:pPr>
        <w:ind w:firstLine="709"/>
      </w:pPr>
      <w:r>
        <w:t xml:space="preserve">2.2. Соблюдение в отношении него всех положений Всемирного антидопингового кодекса, Международных стандартов и Общероссийских антидопинговых правил. </w:t>
      </w:r>
    </w:p>
    <w:p w:rsidR="004A4B0F" w:rsidRDefault="005B2579" w:rsidP="003E34E4">
      <w:pPr>
        <w:ind w:firstLine="709"/>
      </w:pPr>
      <w:r>
        <w:t xml:space="preserve">2.3. Получение своевременной и объективной информации о нарушении антидопинговых правил. </w:t>
      </w:r>
    </w:p>
    <w:p w:rsidR="004A4B0F" w:rsidRDefault="005B2579" w:rsidP="003E34E4">
      <w:pPr>
        <w:ind w:firstLine="709"/>
      </w:pPr>
      <w:r>
        <w:t>2.4. Конфиденциальность информации о своем местонахождении.</w:t>
      </w:r>
    </w:p>
    <w:p w:rsidR="004A4B0F" w:rsidRDefault="005B2579" w:rsidP="003E34E4">
      <w:pPr>
        <w:ind w:firstLine="709"/>
      </w:pPr>
      <w:r>
        <w:t xml:space="preserve"> 2.5. Запрос на проведение анализа пробы «Б» при неблагоприятном анализе пробы «А» в установленные сроки.</w:t>
      </w:r>
    </w:p>
    <w:p w:rsidR="004A4B0F" w:rsidRDefault="005B2579" w:rsidP="003E34E4">
      <w:pPr>
        <w:ind w:firstLine="709"/>
      </w:pPr>
      <w:r>
        <w:t xml:space="preserve"> 2.6. Присутствие при вскрытии и анализе пробы «Б».</w:t>
      </w:r>
    </w:p>
    <w:p w:rsidR="004A4B0F" w:rsidRDefault="005B2579" w:rsidP="003E34E4">
      <w:pPr>
        <w:ind w:firstLine="709"/>
      </w:pPr>
      <w:r>
        <w:t xml:space="preserve"> 2.7. Беспристрастное рассмотрение обвинений в нарушении антидопинговых правил.</w:t>
      </w:r>
    </w:p>
    <w:p w:rsidR="004A4B0F" w:rsidRDefault="005B2579" w:rsidP="003E34E4">
      <w:pPr>
        <w:ind w:firstLine="709"/>
      </w:pPr>
      <w:r>
        <w:t xml:space="preserve"> 2.8. Подачу апелляций на обвинение в нарушении антидопинговых правил и наложении санкций. </w:t>
      </w:r>
    </w:p>
    <w:p w:rsidR="004A4B0F" w:rsidRDefault="005B2579" w:rsidP="003E34E4">
      <w:pPr>
        <w:ind w:firstLine="709"/>
      </w:pPr>
      <w:r>
        <w:t xml:space="preserve">2.9. Получение разрешение на терапевтическое использование запрещенных препаратов в соответствии </w:t>
      </w:r>
      <w:proofErr w:type="gramStart"/>
      <w:r>
        <w:t>со</w:t>
      </w:r>
      <w:proofErr w:type="gramEnd"/>
      <w:r>
        <w:t xml:space="preserve"> Общероссийскими антидопинговыми правилами. </w:t>
      </w:r>
    </w:p>
    <w:p w:rsidR="004A4B0F" w:rsidRDefault="005B2579" w:rsidP="003E34E4">
      <w:pPr>
        <w:ind w:firstLine="709"/>
      </w:pPr>
      <w:r>
        <w:t xml:space="preserve">Спортсмен обязан: </w:t>
      </w:r>
    </w:p>
    <w:p w:rsidR="004A4B0F" w:rsidRDefault="005B2579" w:rsidP="003E34E4">
      <w:pPr>
        <w:ind w:firstLine="709"/>
      </w:pPr>
      <w:r>
        <w:t>2.10. Знать и соблюдать антидопинговые правила.</w:t>
      </w:r>
    </w:p>
    <w:p w:rsidR="004A4B0F" w:rsidRDefault="005B2579" w:rsidP="003E34E4">
      <w:pPr>
        <w:ind w:firstLine="709"/>
      </w:pPr>
      <w:r>
        <w:t xml:space="preserve"> 2.11. В любое время быть доступным для взятия проб. </w:t>
      </w:r>
    </w:p>
    <w:p w:rsidR="004A4B0F" w:rsidRDefault="005B2579" w:rsidP="003E34E4">
      <w:pPr>
        <w:ind w:firstLine="709"/>
      </w:pPr>
      <w:r>
        <w:t>2.12. Нести ответственность за то, что он</w:t>
      </w:r>
      <w:r w:rsidR="004A4B0F">
        <w:t xml:space="preserve"> употребляет и использует в пищ</w:t>
      </w:r>
      <w:r>
        <w:t>у.</w:t>
      </w:r>
    </w:p>
    <w:p w:rsidR="005B2579" w:rsidRDefault="005B2579" w:rsidP="003E34E4">
      <w:pPr>
        <w:ind w:firstLine="709"/>
      </w:pPr>
      <w:r>
        <w:t xml:space="preserve"> 2.13. Информировать медицинский персонал об их обязанностях не использовать запрещенные субстанции и запрещенные методы, нести ответственность за то, что любое получаемое им медицинское обслуживание не нарушает антидопинговую политику и локальные акты, принятые в соответствии с Общероссийскими антидопинговыми правилами.</w:t>
      </w:r>
    </w:p>
    <w:p w:rsidR="004A4B0F" w:rsidRDefault="005B2579" w:rsidP="003E34E4">
      <w:pPr>
        <w:ind w:firstLine="709"/>
      </w:pPr>
      <w:r>
        <w:t>2.14. Сотрудничать с антидопинговыми организациями при расследовании нарушений антидопинговых правил.</w:t>
      </w:r>
    </w:p>
    <w:p w:rsidR="004A4B0F" w:rsidRDefault="005B2579" w:rsidP="003E34E4">
      <w:pPr>
        <w:ind w:firstLine="709"/>
      </w:pPr>
      <w:r>
        <w:t xml:space="preserve"> 2.15. Предоставлять необходимую информацию РУ САДА при включении в национальный регистрируемый пул и расширенный пул тестирования. </w:t>
      </w:r>
    </w:p>
    <w:p w:rsidR="004A4B0F" w:rsidRDefault="005B2579" w:rsidP="003E34E4">
      <w:pPr>
        <w:ind w:firstLine="709"/>
      </w:pPr>
      <w:r>
        <w:t xml:space="preserve">2.16. Спортсмены, включенные в национальный регистрируемый пул и расширенный пул тестирования, обязаны предоставлять информацию о своем местонахождении через систему АДАМС с указанием одночасового окна абсолютной доступности для тестирования на каждый день, расписания тренировок и соревнований. </w:t>
      </w:r>
    </w:p>
    <w:p w:rsidR="004A4B0F" w:rsidRDefault="005B2579" w:rsidP="003E34E4">
      <w:pPr>
        <w:ind w:firstLine="709"/>
      </w:pPr>
      <w:r>
        <w:t xml:space="preserve">2.17. Сообщать работодателю о возможном нарушении антидопинговых правил. </w:t>
      </w:r>
    </w:p>
    <w:p w:rsidR="004A4B0F" w:rsidRPr="009E3C52" w:rsidRDefault="005B2579" w:rsidP="004A4B0F">
      <w:pPr>
        <w:ind w:firstLine="709"/>
        <w:jc w:val="center"/>
        <w:rPr>
          <w:b/>
        </w:rPr>
      </w:pPr>
      <w:r w:rsidRPr="009E3C52">
        <w:rPr>
          <w:b/>
        </w:rPr>
        <w:t>3.Санкции за нарушение антидопинговых правил</w:t>
      </w:r>
    </w:p>
    <w:p w:rsidR="004A4B0F" w:rsidRDefault="005B2579" w:rsidP="003E34E4">
      <w:pPr>
        <w:ind w:firstLine="709"/>
      </w:pPr>
      <w:r>
        <w:t xml:space="preserve"> За несоблюдение антидопинговых правил к спортсмену могут быть применены следующие санкции:</w:t>
      </w:r>
    </w:p>
    <w:p w:rsidR="004A4B0F" w:rsidRDefault="005B2579" w:rsidP="003E34E4">
      <w:pPr>
        <w:ind w:firstLine="709"/>
      </w:pPr>
      <w:r>
        <w:t xml:space="preserve"> 2.18. Аннулирование результатов соревнований. Нарушение антидопинговых правил в индивидуальных видах спорта, выявленное в ходе соревновательного тестирования, автоматически ведет к аннулированию результатов, полученных в ходе соревнований со всеми вытекающими последствиями, включая изъятие всех медалей, очков и призов. Если более двух членов команды в командных видах спорта нарушили антидопинговые правила во время спортивного мероприятия, то организатор спортивного мероприятия должен наложить соответствующую санкцию на команду (например, снятие заработанных очков, дисквалификация с соревнований или другую санкцию) в дополнение к последствиям, наложенным на отдельных спортсменов, совершивших нарушение антидопинговых правил. </w:t>
      </w:r>
    </w:p>
    <w:p w:rsidR="004A4B0F" w:rsidRDefault="005B2579" w:rsidP="003E34E4">
      <w:pPr>
        <w:ind w:firstLine="709"/>
      </w:pPr>
      <w:r>
        <w:t xml:space="preserve">2.19. Дисквалификация. </w:t>
      </w:r>
    </w:p>
    <w:p w:rsidR="005B2579" w:rsidRDefault="005B2579" w:rsidP="003E34E4">
      <w:pPr>
        <w:ind w:firstLine="709"/>
      </w:pPr>
      <w:r>
        <w:t xml:space="preserve">Дисквалификация означает именно то, что спортсмен не может участвовать ни в каких соревнованиях или иной спортивной деятельности международной федерации, национальных федераций и клубов, являющихся их членами. Также, спортсмен не может принимать участие в соревнованиях, санкционированных или организованных любой подписавшей Кодекс стороной </w:t>
      </w:r>
      <w:r>
        <w:lastRenderedPageBreak/>
        <w:t xml:space="preserve">(таких как Международный олимпийский комитет, Международный </w:t>
      </w:r>
      <w:proofErr w:type="spellStart"/>
      <w:r>
        <w:t>параолимпийский</w:t>
      </w:r>
      <w:proofErr w:type="spellEnd"/>
      <w:r>
        <w:t xml:space="preserve"> комитет, Национальный олимпийский комитет) или их подчиненные организации. Спортсмен не может принимать участие в международных или национальных соревнованиях, организованных профессиональной лигой или международным или национальным организатором спортивных мероприятий или спортивных мероприятиях высокого или национального уровня, финансируемых правительственной организацией.</w:t>
      </w:r>
    </w:p>
    <w:p w:rsidR="004A4B0F" w:rsidRPr="00EE46A2" w:rsidRDefault="005B2579" w:rsidP="004A4B0F">
      <w:pPr>
        <w:ind w:firstLine="709"/>
        <w:jc w:val="center"/>
        <w:rPr>
          <w:b/>
        </w:rPr>
      </w:pPr>
      <w:r w:rsidRPr="00EE46A2">
        <w:rPr>
          <w:b/>
        </w:rPr>
        <w:t>4.Ответственность</w:t>
      </w:r>
    </w:p>
    <w:p w:rsidR="005B2579" w:rsidRDefault="005B2579" w:rsidP="003E34E4">
      <w:pPr>
        <w:ind w:firstLine="709"/>
      </w:pPr>
      <w:r>
        <w:t>На территории Российской Федерации действует административное и уголовное наказание по следующим статьям:</w:t>
      </w:r>
    </w:p>
    <w:p w:rsidR="004A4B0F" w:rsidRDefault="004A4B0F" w:rsidP="003E34E4">
      <w:pPr>
        <w:ind w:firstLine="709"/>
      </w:pPr>
    </w:p>
    <w:tbl>
      <w:tblPr>
        <w:tblStyle w:val="a9"/>
        <w:tblW w:w="0" w:type="auto"/>
        <w:tblLook w:val="04A0"/>
      </w:tblPr>
      <w:tblGrid>
        <w:gridCol w:w="5778"/>
        <w:gridCol w:w="1664"/>
        <w:gridCol w:w="1594"/>
        <w:gridCol w:w="1384"/>
      </w:tblGrid>
      <w:tr w:rsidR="005B2579" w:rsidTr="00EE46A2">
        <w:tc>
          <w:tcPr>
            <w:tcW w:w="5778" w:type="dxa"/>
          </w:tcPr>
          <w:p w:rsidR="005B2579" w:rsidRPr="00FE0BFA" w:rsidRDefault="00EE46A2" w:rsidP="00FE0BFA">
            <w:pPr>
              <w:jc w:val="center"/>
              <w:rPr>
                <w:b/>
              </w:rPr>
            </w:pPr>
            <w:r w:rsidRPr="00FE0BFA">
              <w:rPr>
                <w:b/>
              </w:rPr>
              <w:t>№ Статьи</w:t>
            </w:r>
          </w:p>
        </w:tc>
        <w:tc>
          <w:tcPr>
            <w:tcW w:w="1664" w:type="dxa"/>
          </w:tcPr>
          <w:p w:rsidR="005B2579" w:rsidRPr="00FE0BFA" w:rsidRDefault="00EE46A2" w:rsidP="00FE0BFA">
            <w:pPr>
              <w:jc w:val="center"/>
              <w:rPr>
                <w:b/>
              </w:rPr>
            </w:pPr>
            <w:r w:rsidRPr="00FE0BFA">
              <w:rPr>
                <w:b/>
              </w:rPr>
              <w:t>Штраф</w:t>
            </w:r>
          </w:p>
        </w:tc>
        <w:tc>
          <w:tcPr>
            <w:tcW w:w="1594" w:type="dxa"/>
          </w:tcPr>
          <w:p w:rsidR="005B2579" w:rsidRPr="00FE0BFA" w:rsidRDefault="00EE46A2" w:rsidP="00FE0BFA">
            <w:pPr>
              <w:jc w:val="center"/>
              <w:rPr>
                <w:b/>
              </w:rPr>
            </w:pPr>
            <w:r w:rsidRPr="00FE0BFA">
              <w:rPr>
                <w:b/>
              </w:rPr>
              <w:t>Лишение права занимать должность</w:t>
            </w:r>
          </w:p>
        </w:tc>
        <w:tc>
          <w:tcPr>
            <w:tcW w:w="1384" w:type="dxa"/>
          </w:tcPr>
          <w:p w:rsidR="005B2579" w:rsidRPr="00FE0BFA" w:rsidRDefault="00EE46A2" w:rsidP="00FE0BFA">
            <w:pPr>
              <w:jc w:val="center"/>
              <w:rPr>
                <w:b/>
              </w:rPr>
            </w:pPr>
            <w:r w:rsidRPr="00FE0BFA">
              <w:rPr>
                <w:b/>
              </w:rPr>
              <w:t>Лишение свободы</w:t>
            </w:r>
          </w:p>
        </w:tc>
      </w:tr>
      <w:tr w:rsidR="005B2579" w:rsidTr="00EE46A2">
        <w:tc>
          <w:tcPr>
            <w:tcW w:w="5778" w:type="dxa"/>
          </w:tcPr>
          <w:p w:rsidR="005B2579" w:rsidRDefault="00EE46A2" w:rsidP="003E34E4">
            <w:pPr>
              <w:jc w:val="left"/>
              <w:rPr>
                <w:b/>
              </w:rPr>
            </w:pPr>
            <w:proofErr w:type="spellStart"/>
            <w:r>
              <w:t>КоАП</w:t>
            </w:r>
            <w:proofErr w:type="spellEnd"/>
            <w:r>
              <w:t xml:space="preserve"> РФ, Статья 6.18. Нарушение установленных законом о физической культуре и спорте требований о предотвращении допинга в спорте и борьбе с ним.</w:t>
            </w:r>
          </w:p>
        </w:tc>
        <w:tc>
          <w:tcPr>
            <w:tcW w:w="1664" w:type="dxa"/>
          </w:tcPr>
          <w:p w:rsidR="005B2579" w:rsidRDefault="005B2579" w:rsidP="003E34E4">
            <w:pPr>
              <w:jc w:val="left"/>
              <w:rPr>
                <w:b/>
              </w:rPr>
            </w:pPr>
          </w:p>
        </w:tc>
        <w:tc>
          <w:tcPr>
            <w:tcW w:w="1594" w:type="dxa"/>
          </w:tcPr>
          <w:p w:rsidR="005B2579" w:rsidRDefault="00EE46A2" w:rsidP="003E34E4">
            <w:pPr>
              <w:jc w:val="left"/>
              <w:rPr>
                <w:b/>
              </w:rPr>
            </w:pPr>
            <w:r>
              <w:t xml:space="preserve">До </w:t>
            </w:r>
            <w:proofErr w:type="spellStart"/>
            <w:r>
              <w:t>Зх</w:t>
            </w:r>
            <w:proofErr w:type="spellEnd"/>
            <w:r>
              <w:t xml:space="preserve"> лет</w:t>
            </w:r>
          </w:p>
        </w:tc>
        <w:tc>
          <w:tcPr>
            <w:tcW w:w="1384" w:type="dxa"/>
          </w:tcPr>
          <w:p w:rsidR="005B2579" w:rsidRDefault="005B2579" w:rsidP="003E34E4">
            <w:pPr>
              <w:jc w:val="left"/>
              <w:rPr>
                <w:b/>
              </w:rPr>
            </w:pPr>
          </w:p>
        </w:tc>
      </w:tr>
      <w:tr w:rsidR="005B2579" w:rsidTr="00EE46A2">
        <w:tc>
          <w:tcPr>
            <w:tcW w:w="5778" w:type="dxa"/>
          </w:tcPr>
          <w:p w:rsidR="005B2579" w:rsidRDefault="00EE46A2" w:rsidP="003E34E4">
            <w:pPr>
              <w:jc w:val="left"/>
              <w:rPr>
                <w:b/>
              </w:rPr>
            </w:pPr>
            <w:r>
              <w:t>УК РФ, Статья 234. Незаконный оборот сильнодействующих или ядовитых веществ в целях сбыта.</w:t>
            </w:r>
          </w:p>
        </w:tc>
        <w:tc>
          <w:tcPr>
            <w:tcW w:w="1664" w:type="dxa"/>
          </w:tcPr>
          <w:p w:rsidR="005B2579" w:rsidRDefault="00EE46A2" w:rsidP="003E34E4">
            <w:pPr>
              <w:jc w:val="left"/>
              <w:rPr>
                <w:b/>
              </w:rPr>
            </w:pPr>
            <w:r>
              <w:t>До 120000 р.</w:t>
            </w:r>
          </w:p>
        </w:tc>
        <w:tc>
          <w:tcPr>
            <w:tcW w:w="1594" w:type="dxa"/>
          </w:tcPr>
          <w:p w:rsidR="005B2579" w:rsidRDefault="005B2579" w:rsidP="003E34E4">
            <w:pPr>
              <w:jc w:val="left"/>
              <w:rPr>
                <w:b/>
              </w:rPr>
            </w:pPr>
          </w:p>
        </w:tc>
        <w:tc>
          <w:tcPr>
            <w:tcW w:w="1384" w:type="dxa"/>
          </w:tcPr>
          <w:p w:rsidR="005B2579" w:rsidRDefault="00EE46A2" w:rsidP="003E34E4">
            <w:pPr>
              <w:jc w:val="left"/>
              <w:rPr>
                <w:b/>
              </w:rPr>
            </w:pPr>
            <w:r>
              <w:t>До восьми лет</w:t>
            </w:r>
          </w:p>
        </w:tc>
      </w:tr>
      <w:tr w:rsidR="005B2579" w:rsidTr="00EE46A2">
        <w:tc>
          <w:tcPr>
            <w:tcW w:w="5778" w:type="dxa"/>
          </w:tcPr>
          <w:p w:rsidR="005B2579" w:rsidRDefault="00EE46A2" w:rsidP="003E34E4">
            <w:pPr>
              <w:jc w:val="left"/>
              <w:rPr>
                <w:b/>
              </w:rPr>
            </w:pPr>
            <w:r>
              <w:t>УК РФ, Статья 226.1. Контрабанда сильнодействующих, ядовитых, отравляющих, взрывчатых, радиоактивных веществ.</w:t>
            </w:r>
          </w:p>
        </w:tc>
        <w:tc>
          <w:tcPr>
            <w:tcW w:w="1664" w:type="dxa"/>
          </w:tcPr>
          <w:p w:rsidR="005B2579" w:rsidRDefault="00EE46A2" w:rsidP="003E34E4">
            <w:pPr>
              <w:jc w:val="left"/>
              <w:rPr>
                <w:b/>
              </w:rPr>
            </w:pPr>
            <w:r>
              <w:t>До 1 млн. р.</w:t>
            </w:r>
          </w:p>
        </w:tc>
        <w:tc>
          <w:tcPr>
            <w:tcW w:w="1594" w:type="dxa"/>
          </w:tcPr>
          <w:p w:rsidR="005B2579" w:rsidRDefault="005B2579" w:rsidP="003E34E4">
            <w:pPr>
              <w:jc w:val="left"/>
              <w:rPr>
                <w:b/>
              </w:rPr>
            </w:pPr>
          </w:p>
        </w:tc>
        <w:tc>
          <w:tcPr>
            <w:tcW w:w="1384" w:type="dxa"/>
          </w:tcPr>
          <w:p w:rsidR="005B2579" w:rsidRDefault="00EE46A2" w:rsidP="003E34E4">
            <w:pPr>
              <w:jc w:val="left"/>
              <w:rPr>
                <w:b/>
              </w:rPr>
            </w:pPr>
            <w:r>
              <w:t>От семи до двенадцати лет</w:t>
            </w:r>
          </w:p>
        </w:tc>
      </w:tr>
      <w:tr w:rsidR="005B2579" w:rsidTr="00EE46A2">
        <w:tc>
          <w:tcPr>
            <w:tcW w:w="5778" w:type="dxa"/>
          </w:tcPr>
          <w:p w:rsidR="005B2579" w:rsidRDefault="00EE46A2" w:rsidP="003E34E4">
            <w:pPr>
              <w:jc w:val="left"/>
              <w:rPr>
                <w:b/>
              </w:rPr>
            </w:pPr>
            <w:r>
              <w:t xml:space="preserve">УК РФ, Статья 228. </w:t>
            </w:r>
            <w:proofErr w:type="gramStart"/>
            <w:r>
              <w:t>Незаконные приобретение, хранение, перевозка, изготовление, переработка наркотических средств, психотропных веществ или их аналогов, а также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</w:t>
            </w:r>
            <w:proofErr w:type="gramEnd"/>
          </w:p>
        </w:tc>
        <w:tc>
          <w:tcPr>
            <w:tcW w:w="1664" w:type="dxa"/>
          </w:tcPr>
          <w:p w:rsidR="005B2579" w:rsidRDefault="00EE46A2" w:rsidP="003E34E4">
            <w:pPr>
              <w:jc w:val="left"/>
              <w:rPr>
                <w:b/>
              </w:rPr>
            </w:pPr>
            <w:r>
              <w:t>До 40000 р.</w:t>
            </w:r>
          </w:p>
        </w:tc>
        <w:tc>
          <w:tcPr>
            <w:tcW w:w="1594" w:type="dxa"/>
          </w:tcPr>
          <w:p w:rsidR="005B2579" w:rsidRDefault="005B2579" w:rsidP="003E34E4">
            <w:pPr>
              <w:jc w:val="left"/>
              <w:rPr>
                <w:b/>
              </w:rPr>
            </w:pPr>
          </w:p>
        </w:tc>
        <w:tc>
          <w:tcPr>
            <w:tcW w:w="1384" w:type="dxa"/>
          </w:tcPr>
          <w:p w:rsidR="005B2579" w:rsidRDefault="005B2579" w:rsidP="003E34E4">
            <w:pPr>
              <w:jc w:val="left"/>
              <w:rPr>
                <w:b/>
              </w:rPr>
            </w:pPr>
          </w:p>
        </w:tc>
      </w:tr>
    </w:tbl>
    <w:p w:rsidR="004A4B0F" w:rsidRDefault="004A4B0F" w:rsidP="004A4B0F">
      <w:pPr>
        <w:jc w:val="center"/>
        <w:rPr>
          <w:b/>
        </w:rPr>
      </w:pPr>
    </w:p>
    <w:p w:rsidR="004A4B0F" w:rsidRPr="004A4B0F" w:rsidRDefault="004A4B0F" w:rsidP="004A4B0F">
      <w:pPr>
        <w:jc w:val="center"/>
        <w:rPr>
          <w:b/>
        </w:rPr>
      </w:pPr>
      <w:r w:rsidRPr="004A4B0F">
        <w:rPr>
          <w:b/>
        </w:rPr>
        <w:t>3. Заключительные положения</w:t>
      </w:r>
    </w:p>
    <w:p w:rsidR="004A4B0F" w:rsidRDefault="004A4B0F" w:rsidP="003E34E4">
      <w:pPr>
        <w:jc w:val="left"/>
      </w:pPr>
      <w:r>
        <w:t xml:space="preserve">3.1. Ознакомление спортсмена с настоящей инструкцией осуществляется тренером. </w:t>
      </w:r>
    </w:p>
    <w:p w:rsidR="005B2579" w:rsidRPr="006A2F99" w:rsidRDefault="004A4B0F" w:rsidP="003E34E4">
      <w:pPr>
        <w:jc w:val="left"/>
        <w:rPr>
          <w:b/>
        </w:rPr>
      </w:pPr>
      <w:r>
        <w:t>3.2. Требования настоящей Инструкции являются обязательными для спортсмена.</w:t>
      </w:r>
    </w:p>
    <w:sectPr w:rsidR="005B2579" w:rsidRPr="006A2F99" w:rsidSect="006365E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258"/>
    <w:rsid w:val="0000427A"/>
    <w:rsid w:val="0006276F"/>
    <w:rsid w:val="000852EB"/>
    <w:rsid w:val="000D34C4"/>
    <w:rsid w:val="00255338"/>
    <w:rsid w:val="00364B3B"/>
    <w:rsid w:val="003670F9"/>
    <w:rsid w:val="003E34E4"/>
    <w:rsid w:val="004A4B0F"/>
    <w:rsid w:val="00530B9F"/>
    <w:rsid w:val="00585004"/>
    <w:rsid w:val="005B2579"/>
    <w:rsid w:val="006365E0"/>
    <w:rsid w:val="00682579"/>
    <w:rsid w:val="006A2F99"/>
    <w:rsid w:val="006D043A"/>
    <w:rsid w:val="006E3AAD"/>
    <w:rsid w:val="006E702A"/>
    <w:rsid w:val="007602CE"/>
    <w:rsid w:val="00781D3F"/>
    <w:rsid w:val="007D7422"/>
    <w:rsid w:val="007E3C07"/>
    <w:rsid w:val="007F30C9"/>
    <w:rsid w:val="008D557C"/>
    <w:rsid w:val="00911615"/>
    <w:rsid w:val="00937AF3"/>
    <w:rsid w:val="00990997"/>
    <w:rsid w:val="009B56FA"/>
    <w:rsid w:val="009B75E0"/>
    <w:rsid w:val="009E3C52"/>
    <w:rsid w:val="00A35179"/>
    <w:rsid w:val="00A53E5E"/>
    <w:rsid w:val="00A675E4"/>
    <w:rsid w:val="00B27B4B"/>
    <w:rsid w:val="00B854E3"/>
    <w:rsid w:val="00BF0561"/>
    <w:rsid w:val="00C372E3"/>
    <w:rsid w:val="00CD79C0"/>
    <w:rsid w:val="00D04208"/>
    <w:rsid w:val="00D051FC"/>
    <w:rsid w:val="00D17DD9"/>
    <w:rsid w:val="00D41CA0"/>
    <w:rsid w:val="00DC5CAE"/>
    <w:rsid w:val="00E33258"/>
    <w:rsid w:val="00EE46A2"/>
    <w:rsid w:val="00EE61E7"/>
    <w:rsid w:val="00EF5E57"/>
    <w:rsid w:val="00FE0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="Calibri" w:hAnsi="Trebuchet M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004"/>
    <w:pPr>
      <w:widowControl w:val="0"/>
      <w:spacing w:before="6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585004"/>
    <w:pPr>
      <w:keepNext/>
      <w:widowControl/>
      <w:spacing w:before="0"/>
      <w:outlineLvl w:val="0"/>
    </w:pPr>
    <w:rPr>
      <w:rFonts w:ascii="Arial" w:eastAsia="Times New Roman" w:hAnsi="Arial"/>
      <w:b/>
      <w:bCs/>
      <w:sz w:val="20"/>
      <w:szCs w:val="24"/>
    </w:rPr>
  </w:style>
  <w:style w:type="paragraph" w:styleId="2">
    <w:name w:val="heading 2"/>
    <w:basedOn w:val="a"/>
    <w:next w:val="a"/>
    <w:link w:val="20"/>
    <w:qFormat/>
    <w:rsid w:val="00585004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585004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8500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85004"/>
    <w:pPr>
      <w:widowControl/>
      <w:spacing w:before="240" w:after="60"/>
      <w:jc w:val="left"/>
      <w:outlineLvl w:val="5"/>
    </w:pPr>
    <w:rPr>
      <w:rFonts w:eastAsia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585004"/>
    <w:pPr>
      <w:widowControl/>
      <w:spacing w:before="240" w:after="60"/>
      <w:jc w:val="left"/>
      <w:outlineLvl w:val="6"/>
    </w:pPr>
    <w:rPr>
      <w:rFonts w:eastAsia="Times New Roman"/>
      <w:szCs w:val="24"/>
    </w:rPr>
  </w:style>
  <w:style w:type="paragraph" w:styleId="8">
    <w:name w:val="heading 8"/>
    <w:basedOn w:val="a"/>
    <w:next w:val="a"/>
    <w:link w:val="80"/>
    <w:qFormat/>
    <w:rsid w:val="00585004"/>
    <w:pPr>
      <w:widowControl/>
      <w:spacing w:before="240" w:after="60"/>
      <w:jc w:val="left"/>
      <w:outlineLvl w:val="7"/>
    </w:pPr>
    <w:rPr>
      <w:rFonts w:eastAsia="Times New Roman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5004"/>
    <w:rPr>
      <w:rFonts w:ascii="Arial" w:eastAsia="Times New Roman" w:hAnsi="Arial" w:cs="Times New Roman"/>
      <w:b/>
      <w:bCs/>
      <w:sz w:val="20"/>
      <w:szCs w:val="24"/>
      <w:lang w:eastAsia="ru-RU"/>
    </w:rPr>
  </w:style>
  <w:style w:type="character" w:customStyle="1" w:styleId="20">
    <w:name w:val="Заголовок 2 Знак"/>
    <w:link w:val="2"/>
    <w:rsid w:val="0058500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rsid w:val="00585004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585004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585004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5850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585004"/>
    <w:rPr>
      <w:rFonts w:ascii="Times New Roman" w:eastAsia="Times New Roman" w:hAnsi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585004"/>
    <w:pPr>
      <w:widowControl/>
      <w:spacing w:before="0"/>
      <w:jc w:val="center"/>
    </w:pPr>
    <w:rPr>
      <w:rFonts w:ascii="Arial" w:eastAsia="Times New Roman" w:hAnsi="Arial" w:cs="Arial"/>
      <w:sz w:val="28"/>
    </w:rPr>
  </w:style>
  <w:style w:type="character" w:customStyle="1" w:styleId="a4">
    <w:name w:val="Название Знак"/>
    <w:link w:val="a3"/>
    <w:rsid w:val="00585004"/>
    <w:rPr>
      <w:rFonts w:ascii="Arial" w:eastAsia="Times New Roman" w:hAnsi="Arial" w:cs="Arial"/>
      <w:sz w:val="28"/>
      <w:szCs w:val="20"/>
      <w:lang w:eastAsia="ru-RU"/>
    </w:rPr>
  </w:style>
  <w:style w:type="character" w:styleId="a5">
    <w:name w:val="Strong"/>
    <w:qFormat/>
    <w:rsid w:val="00585004"/>
    <w:rPr>
      <w:b/>
      <w:bCs/>
    </w:rPr>
  </w:style>
  <w:style w:type="paragraph" w:styleId="a6">
    <w:name w:val="List Paragraph"/>
    <w:basedOn w:val="a"/>
    <w:uiPriority w:val="34"/>
    <w:qFormat/>
    <w:rsid w:val="00585004"/>
    <w:pPr>
      <w:widowControl/>
      <w:spacing w:before="0"/>
      <w:ind w:left="720"/>
      <w:jc w:val="left"/>
    </w:pPr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33258"/>
    <w:pPr>
      <w:spacing w:before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325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909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qFormat/>
    <w:rsid w:val="00937AF3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ДЮСШ</cp:lastModifiedBy>
  <cp:revision>13</cp:revision>
  <cp:lastPrinted>2024-02-07T03:07:00Z</cp:lastPrinted>
  <dcterms:created xsi:type="dcterms:W3CDTF">2023-05-03T01:07:00Z</dcterms:created>
  <dcterms:modified xsi:type="dcterms:W3CDTF">2026-01-29T04:59:00Z</dcterms:modified>
</cp:coreProperties>
</file>